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齐思强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1940.12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33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13003763375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q31e8u@sohu.com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云南省潞西市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纺织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北京卫生职业学院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云南省潞西市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云南省潞西市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中国民主建国会会员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33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2004/02-2014/09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机械工程师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成都盟升电子技术股份有限公司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负责与线下市场的营销企划、市场等部门对接，协调资源，推动合作；2.负责推进不同城市的线下卖场拓展，基于城市当地的需求和现状调整业务策略，快速推进规模化；3.帮助合作伙伴组建团队，培养对方自运营能力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1995年01月-2014年11月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财务分析/对外结算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瑞卡租车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.对接市场部全年品牌营销计划并根据各平台活动节奏，制定品牌在线上销售平台的全年活动方案策划，制定活动执行方案并对每一个方案的ROI负责；2.根据全年品牌策略，制定年度电商营销策划活动，制定年度页面/公私域内容策略及传播策略方向（含活动策略、传播策略、内容策略等）；3.根据平台发展策略方向，有效预判并阶段性梳理及输出策略优化建议；4.对接公司线上销售平台，深入了解和分析消费者画像，行业趋势和产品动向，为销售和市场部提供有效的作战信息和销售市场分析；5.负责把控线上销售平台站内媒体投放全年策略制定，并对ROI负责；6.负责公司电商部门所有创新项目的执行和跟进及复盘；7.负责公司每一阶段新品的推广和传播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1993年02月-2014年10月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生产内勤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深圳市润合供应链有限公司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销售合同的签订、备案；2、负责整理已签订商品房买卖合同的***，并归档以及建立电子档案；3、负责办理客户撤销合同、合同变更相关工作；4、全程办理按揭客户按揭手续、跟踪银行按揭进度、确保快速放款；5、负责与财务沟通，各项相关手续费的支取，相关票据的交接，转存银行保证金等工作；6、定期了解房屋交易中心、产权办、银行等相关单位对购房所产生的查档费、契税、维修基金、利率及相关税费的变更，及时进行更新；7、掌握各产品销售政策及基本销售流程；完成上级领导安排的其他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2005.10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北京卫生职业学院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纺织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