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鲁祥新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13007815251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1961.05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户口:海南省三亚市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2014.08-2018.08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航空航天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1999年03月-2013年01月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律动文化传播有限公司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财务分析经理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2003年04月-2016年11月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广东国瑞投资管理有限公司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QC担当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2003年09月-2014年08月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长沙矿冶研究院有限责任公司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制剂研究员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1998/07-2015/12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广州生泰网络科技有限公司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标书制作员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2007/07-2017/07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