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贾会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广东省珠海市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13801416120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vityvoj4@0355.net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2001/07-2010/07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重庆宋伯树农副产品有限公司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会计助理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2006/07-2011/07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杭州新天地集团有限公司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WEB前端工程师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2005.06-2019.03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招商信诺人寿保险有限公司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商业助理总裁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2002年07月-2010年03月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苏州格理菲丝百货商城有限公司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Java开发工程师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地理科学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大气科学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2007/09-2016/03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1.区域内新、老客户的开发及维护；2.项目招投标，合同签署，收款工作；3.完成约定的销售及回款指标。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