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乐启之</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北京城市学院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44岁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九三学社社员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重庆市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15700085053</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zqm2ls@163.com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1991.11-2016.06</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珠海市万科房地产有限公司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诚聘出纳兼行政</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2009年06月-2013年11月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北京屈臣氏个人用品连锁商店有限公司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资深员工关系专员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1、负责管理酒店网络市场，计划并实施酒店的销售活动；2、负责线上推广、宣传、活动策划等；</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2000/08-2015/08</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成都盟升电子技术股份有限公司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测试工程师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所辖区域市场产品的促销活动、推广等工作；（2）负责定期拜访客户、维护良好的客户关系、积极处理客户问题；（3）负责所区域市场信息收集、市场调查与分析，维护产品形象；（4）负责监控各区域促销活动的执行状况、阶段性销售目标达成情况；（5）负责做好新产品/产品的铺市推广工作和终端铺点工作；</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2012.09-</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2016.09</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北京城市学院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图书情报与档案管理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2010.03-</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2014.03</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中国音乐学院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中医学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2012.07-</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2016.07</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中国传媒大学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生物医学工程</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2009.01-2014.06</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信息技术革命与当代认识论研究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1.产品的硬件电路设计（模拟电路与数字电路设计）；2.器件选型，所选器件的评估与测试；3.电路系统调试,产品硬件的测试和维护；4.与软件部门进行产品的联合调试与投产，确保产品按期按质完成。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2004年08月-2011年03月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华南敌后抗日根据地经济建设研究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针对智慧城市/数字企业相关项目，提供技术支持和技术引导；2、根据需求调研行业，制作交流PPT、可研及设计解决方案；3、熟悉招投标流程，完成招标文件及投标文件的支持；4、负责客户需求信息的收集、整理，提供合理的解决方案。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1995/12-2012/05</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广州新岭南文化中心重点研究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批签发数据库的更新和整理并定期进行行业分析；2.跟踪处于临床研究中的疫苗产品的状态；3.维护更新国内疫苗产品的产品信息，包括但不限于包装、说明书、DA、PPT、软文等；4.搜集行业内的分析报告；5.辅助策略分析专员收集国外疫苗产品信息。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1991年05月-2018年05月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深圳市罗湖区发展研究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销售合同的签订、备案；2、负责整理已签订商品房买卖合同的***，并归档以及建立电子档案；3、负责办理客户撤销合同、合同变更相关工作；4、全程办理按揭客户按揭手续、跟踪银行按揭进度、确保快速放款；5、负责与财务沟通，各项相关手续费的支取，相关票据的交接，转存银行保证金等工作；6、定期了解房屋交易中心、产权办、银行等相关单位对购房所产生的查档费、契税、维修基金、利率及相关税费的变更，及时进行更新；7、掌握各产品销售政策及基本销售流程；完成上级领导安排的其他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