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萧楠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1988.07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新疆省哈密市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河南省信阳市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15107285315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x7wjx@ask.com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2014.08-2018.08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2005.05-2009.05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2001.07-2005.07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2003.08-2019.03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广州国金中心酒店管理有限公司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1990.07-2010.01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吉林爱信诺航天信息有限公司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KA电子商务经理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1993.04-2011.10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华铁传媒集团有限公司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2007/01-2015/02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湖南亚源商业管理有限公司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服务工程师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1997.11-2019.03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2009.02-2012.11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2005.11-2014.04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