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韦艺雪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首都经济贸易大学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70岁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中国民主建国会会员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澳门省澳门市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13505243128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alvijz2g@qq.com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1990年05月-2016年09月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福建麦田房产经纪有限公司25部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海外市场经理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1.接待来访客人并做好相应记录；2.引领客人至咨询医生诊室；3.收发快递；4.按要求完成每日工作；5.完成领导交代的其他任务。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2003年01月-2015年11月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香飘飘食品股份有限公司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现场服务经理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受理及主动电话客户，能够及时发现客户问题并给到正确和满意的回复；2、与客户建立良好的联系，熟悉及挖掘客户需求3、具备处理问题、安排进展、跟进进程、沟通及疑难问题服务的意识跟能力，***限度的提高客户满意度。遇到不能解决的问题按流程提交相关人员或主管处理，并跟踪进展直至解决；4、具备一定的销售能力，针对公司现有的客户进行业务拓展5、对新客户进行跟踪回访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2002年12月-2016年02月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北京盈建科软件股份有限公司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文秘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负责终端渠道所属区域市场开发和维护上量工作，积极开拓新市场，扩展产品的销售，完成或超过区域下达的销售指标；2.在公司政策引导下向目标客户传递和公司产品相关的信息，了解产品功能、使用方法、产品特点和公司的相关服务方案，有效的执行公司销售策略；3.通过有效地将目标客户进行分级管理，合理安排拜访频率、正确传递产品信息与客户建立良好的学术及客勤关系，并及时收集反馈客户信息和市场情况，满足客户需求；4.依据制定的营销方案，组织开展各类营销活动，提高品牌知名度；5.及时提交周报、月报、日报，反馈工作情况并按照公司要求积极提升个人销信及专业技能；6.严格执行公司各项制度，服从领导交代各项事务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2004.09-2014.04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国美零售控股有限公司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售后客服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负责学管团队和教学团队的培训管理工作；2.负责学习管理师各项职责的监督考核工作；3.负责教学部的各项管理制度、计划的监督实施及考核；4.对教学质量进行全程追踪组织教师开展教学活动5.做好与各部门的协调工作，完成校区的教育教学任务；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2006.03-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首都经济贸易大学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戏剧与影视学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北京网络职业学院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中西医结合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2001/04-2017/04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深圳市罗湖区发展研究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深入理解所负责团队的业务进展和人力资源现状，完成人员招聘工作，提高人员效率及组织效率；2、能够有意识的通过管理工具或人力资源工具对组织进行诊断，帮助管理者做好人员管理工作，及时发现问题、解决问题；3、推动业务人才发展通道建设并优化，通过人才盘点、关键人才培养、接班人计划等方式为组织选拔、培养和保留人才；4、通过有效的方式调动和组织资源，帮助员工提升专业能力，满足业务需求；5、赋能于业务加强公司文化价值观的传播和落地，建立沟通渠道，成为员工与团队管理者、员工与公司的沟通纽带、意见建议的反馈对象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2008.07-2011.12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马克思哲学与量子力学的主体性问题研究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1.能够根据项目独立完成项目前中后期的踩点、安装、调试工作；2.能够解决公司产品在用户现场出现的故障和问题；3.对客户进行产品知识培训；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1997.07-2014.11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深圳市光明新区企业劳资关系情况调查与对策研究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负责私有云相关产品的设计、开发和测试工作；与业务部门紧密配合，保障良好的用户体验；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