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廉婉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13200018532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2002.04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户口:山东省枣庄市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2007.07-2011.07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2000.04-2017.08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浙江莱博企业管理股份有限公司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销售代表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1997.02-2018.11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杭州恒胜电子科技有限公司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2000/10-2019/05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上海朗绿建筑科技有限公司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海运客服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2005/04-2018/05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深圳市楷德希教育科技集团有限公司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采购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2005/12-2018/12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1999/11-2018/11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1991.01-2020.01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