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施霄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1999.09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13602541748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内蒙古省包头市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ls3vy1@qq.com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中国矿业大学（北京）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能源动力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艺术学理论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中央美术学院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医学技术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：2001年02月-2011年02月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：深圳市新产业生物医学工程股份有限公司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标书制作员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：2007.09-2014.09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：极易电商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研发工程师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：1990年03月-2019年12月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：广州温雅日用化妆品有限公司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英语客服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2003/12-2011/09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1997/04-2018/03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