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花学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13102025242</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1983.02</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户口:海南省海口市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2007.07-2011.07</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北京联合大学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设计学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1994.11-2012.05</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广东鼎橙融资租赁有限公司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网络安全工程师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淘宝店铺的设计，把握不同的页面风格，并不断优化，提高客户的体验感，以增强店铺吸引力、商品销量；2、负责淘宝店铺的商品优化，做出相对应的销售及商品描述、页面设计，以提高产品转化率；3、负责公司品牌、商品等宣传海报、文件的设计、创意宣传，艺术色彩调整，制作宣传推广图；4、对于新款商品，结合商品特性制作图文并茂、有美感、能吸引购买力的详细描述页面；5、对店铺首页、活动页面等相关内容进行创意构思、设计；6、协助其他部门人员对设计及美学方面的工作顺利完成；7、其他与设计相关的工作；</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1997.05-2011.07</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中艺盛世供应链管理有限公司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客服</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1、带领团队完成业绩目标；2、负责制定电销管理制度及服务标准；3、负责电销人员的培训、指导及日常管理；4、组织电销工作的复盘并输出报告；5、挖掘客户需求并提出产品、销售策略改进意见</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1997.06-2016.10</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特泽帝建筑科技有限公司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售后经理</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制定品牌策略及品牌及产品传播策略，策划组织实施各类品牌传播、公关事件及执行方案2、针对客户的行业及实际特征为客户提出互联网营销以及社会化媒体营销的策略方案，并负责整体策略制定、提案、监督落实执行及总结回顾3、对接客户，了解项目需求，把握方向和整体完成质量，主导项目策划、方案产出和比稿工作4、能带领团队进行独立复杂综合性项目的独立提案，并规划相关的培训和沟通会议，加强双方的了解5、有很强的团队组建和管理能力；能适应多变的环境，积极参与公司业务拓展6、了解下属员工的期望，对其进行职业规划，并帮助其达成职业发展目标</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1996/03-2018/06</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第一次国共合作时期的“党治”实践与华南区域社会研究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对于字节跳动IT产品的WEB端和移动端HTML项目设计，实施，维护工作；2.服务器的部署与监控；3.协助其他后端工程师进行代码测试和集成；4.日常需要与产品经理以及UX部门快速交付迭代；5.平时需要follow字节跳动IT部门的Agile+Sprint的工作模式来做交付以及迭代。</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1993/04-2011/04</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专题博物馆建设与新岭南文化发展研究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操作SEM广告投放，制定和执行广告投放方案；2、查看检测数据，提供搜索引擎各投放渠道广告数据；3、根据SEM数据分析及优化方案，对账户进行优化操作，达成制定的各项KPI；4、SEM推广数据整理，分析，报告撰写。</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1997.01-2011.04</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“两个走在前列”的历史意蕴与实现路径研究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据项目需求，拓展并获取优质、有效的渠道商信息，进行开发；2、负责阿里巴巴1688服务市场相关产品，在特定区域的渠道商开发、洽谈，以达成合作；3、通过微信、电话、出差等方式维护客情，对渠道伙伴进行有效的管理，促进渠道伙伴业务的开展，完成相关业绩目标。</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