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茅鸣乐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1990.02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15804850572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浙江省台州市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ecs19@3721.net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北京体育大学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政治学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：1995年11月-2020年01月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：四川尚投集团有限责任公司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出纳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2006.06-2014.10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统战部——统战理论研究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以促进公司项目成交为目标。配合客户经理参与项目创意策划，根据项目需求制作平面规划图、示意图、效果图等。需具备优秀的视觉设计能力。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1994年07月-2012年07月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