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魏茜珊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天津大学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澳门省澳门市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13700594211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cpa3v@126.com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2004/05-2011/10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杭州幻码教育科技有限公司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招商运营主管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经济与贸易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北京医药集团职工大学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中西医结合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2004年06月-2010年08月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《马克思主义政治经济学》（学时）网络课程设计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1、负责线下校区地推活动，异业合作，活动策划，执行，跟进。2、负责微信群人数增长以及校区活动。3、完成校区***团队招募、培训及淘汰。4、负责周边竞品调研，形成报告。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1992.06-2012.11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