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季国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1995.08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13706883916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澳门省澳门市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6e65vhn@163.com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中国地质大学（北京）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：2009/08-2010/08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：深圳市乐有家控股集团有限公司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高级硬件工程师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：1996/05-2011/08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：深圳市百盈生命科技有限公司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英语客服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参与新店筹建的工作，定期出差巡查\管理店铺工作2.跟踪所管理区域销售,做好统计分析工作，提升区域销售，完成月度区域销售任务3.公司基础销售制度的制定和完善，推进并跟进效果4.人员管理,处理顾客投诉,对制定培训计划，对员工进行培训，并跟进执行效果5.监督商品的要货、上货、补货，做好商品陈列、商品质量和服务质量的管理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：2009.04-2013.10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：中饮巴比食品股份有限公司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高级运维(开发)工程师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1996/05-2019/10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1990年12月-2018年05月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广州新移民文化认同与城市归属感研究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1996.10-2014.08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