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伍有志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13200755347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河南优美办公家具有限公司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售后技术支持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2002/02-2018/12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成都回形针电子商务有限公司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技术生产组-QC专员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2007/11-2012/02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天津医药集团马光医疗投资管理有限公司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商品专员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1992年03月-2013年10月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重庆大司空信息科技有限公司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学习管理师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2009/05-2014/01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2007年05月-2012年03月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1990/10-2010/02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北京建筑大学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植物生产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中国地质大学（北京）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哲学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北京市农工商联合总公司职工大学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