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蓝燕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15202131350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bc2ht5@yahoo.com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:香港省香港市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香港省香港市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37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2000.10-2004.10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北京服装学院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兵器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2004/07-2017/04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广州安若希医药科技有限公司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招商讲师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根据年度指标制定部门开发规划，业绩预估及执行、月度/季度完成度追踪;2、负责维系现有批发客户关系，定期与合作客户进行沟通，完成补货及收款，建立良好的长期合作关系，完成批发销售业绩；3、开拓新的潜在客户，拓展品牌分销渠道，建立新客户档案；4、组织统筹买手订货会，完成展销业绩。展会前规划拟定策略、展会后整理采购订单、后期追踪跟单及每季销售整理总结;5、公司品牌活动的策划参与执行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