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皮苑</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1959/05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河南省焦作市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台湾民主自治同盟盟员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四川省雅安市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13708301385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gky8le23@hotmail.com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2009.12-2013.12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北京信息职业技术学院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心理学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2008.12-2012.12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民航管理干部学院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农业工程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2006.11-2010.11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中国人民公安大学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电子商务</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1999.02-2011.12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成都海普迪科技有限公司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JAVA开发工程师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2004.12-2013.10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深华建设股份有限公司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高中化学老师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协助上级领导监督和管理基层员工相关数据的统计和分析；2、负责员工关系团队各类周报、月报的制作；３、负责公司ＨＲ相关制度解答及政策咨询；收集员工心声，建立和谐的劳资关系；４、负责劳动合同模版修订、劳动合同签订管理规范修订、劳动合同签订规范化监督，劳动合同续签、终止、解除等情况的提醒、监督、管控；5、负责员工档案管理细则修订、员工档案归档监督、SAP系统监督及维护、员工档案保存、调阅及销毁等6、协助上级完成分公司员工关系审核、指导工作；7、协助上级完成下属团队员工工作审核及指导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1998/01-2016/06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中国南玻集团股份有限公司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.NET开发工程师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公司品牌推广、宣传与维护，组织品牌包装与定位管理；2、负责公司广告项目、品牌推广的设计工作，含海报设计、VI设计、宣传册设计等3、负责公司每期产品图片处理、抠图、美化、设计、修改、更新工作；4、根据公司每月制定的计划，对公众号、官网网页、抖音官方号等美化设计；5、根据品牌定位，协助上级制定年度宣传推广方案；6、调查及掌握品牌营销领域最新动能，了解行业市场信息，能根据线上线下市场活动进行分析，定期形成分析报告；7、负责建立并维护品牌推广的主要合作资源，各类推广类內容策划、设计、撰写及发布，负责公司媒体宣传文字把关；8、规范品牌形象的使用，监督指导相关部门涉及品牌使用的部分工作，保持企业品牌形象的统一和规范；9、配合其他部门岗位完成相关设计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2003.07-2010.08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深圳市一点联合网络科技有限公司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售后客服</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公司各系统的日常维护、操作培训指导工作；2.负责处理系统日常使用过程中发现的问题，以及对接软件服务商及时解决问题；3.保障系统稳定运行，及时反馈系统存在的问题并提出解决方案；4.对接业务部门提出的需求，组织软件公司进行需求实施；5.负责系统用户手册的维护，技术问题的记录，跟踪和反馈；6.具有一定的网络与设备管理能力，能快速处理日常简单的电脑、打印机故障。7.完成领导布置的其它相关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2000/01-2011/06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传统家国情怀的价值内涵及其近代转型研究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1，处理广告文案策划/平面设计师和客户之间的售后沟通协调；2，无销售性质，属文案/平面助理文职类；3，在线与客服沟通、售后等客服工作。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2008.07-2017.07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清末政府聘用日本军人问题与军事现代化研究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1、负责开发、挖掘潜在客户，维护发展现有客户；2、根据公司计划完成指定的销售目标；3、建立、完善客户销售档案；4、按要求完成销售计划及销售进度表.</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