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戚竹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北京农学院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山西省晋城市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15906191865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4vfcl@0355.net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2003年02月-2011年10月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亚能生物技术有限公司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电商设计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2000.12-2015.09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上海星宝餐饮管理有限公司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渠道专员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1、负责影视动画中的场景与渲染工作；2、制作建筑表现动画，对建筑场景的控制，模型，灯光，材质，小品镜头运动的表现。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北京农学院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工商管理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北京体育大学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工商管理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旅游管理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1999.03-2019.09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