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郝弘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郝弘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13706032436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ap1wehd@qq.com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河南省信阳市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河南省信阳市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1930.06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法医学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2001/06-2012/06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出差专员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1992.05-2013.06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设备的日常数据统计工作；2、每月对银行下辖的各地区ATM设备进行监控考核汇总，按时向银行提供监控分析报表，并说明设备的完好率、开机率、硬件正常运行等情况；3、及时发现设备的缺纸、缺钞情况并进行反馈；4、发现硬件故障，能及时通知到网点或服务厂商；5、通过相关监控情况，能及时与公司及银行沟通，改进完善服务质量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2004年12月-2019年07月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1.负责公司日常业务送货；2.配合公司业务人员客户拜访；3.公司车辆的日常维护与管理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1992年07月-2019年03月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1990/04-2012/08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