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褚韵</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中央美术学院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硕士研究生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48岁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中国民主促进会会员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广东省梅州市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13604374624</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fyvih4q@yahoo.com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1997年10月-2013年09月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重庆迅游科技有限公司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销售工程师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2008年03月-2016年04月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杭州锐翌基因技术有限公司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IP运营策划经理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项目的管理，包括项目提案、项目团队的组建、执行与管理；2、根据活动方案有条理的安排，从前期活动准备到活动执行、后期跟进等；3、为客户提供顾问性的活动策略，建设、维护健康、互信的客户关系;4、公司日常传播客户事件行销服务及新客户的开发与维护。</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2012.04-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2016.04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中央美术学院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心理学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2004.04-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2008.04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中华女子学院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林学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2010.12-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2014.12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北京市崇文区职工大学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电子商务</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2003年02月-2014年02月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华南敌后抗日根据地经济建设研究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1、出单及相关资料整理；2、客户日常维护；3、完成公司交办的其他事务性工作。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