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顾贵</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顾贵</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15302808860</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2yjtrb@3721.net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深圳市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深圳市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1966.06</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2003.05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2007.05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北京信息科技大学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哲学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2011.11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2015.11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北京市海淀区职工大学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计算机</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2007.07</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2011.07</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北京外国语大学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水利</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2005/10-2011/02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恒天财富上海大区</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转轴研发工程师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1、做好合并报表编制、数据统计、财务分析工作；2、负责公司全级次的年度预、决算工作；3、参与公司财务体系改革与优化；4、完成上级交办的其他工作。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1999年04月-2017年12月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河南如冠建设工程有限公司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项目经理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1、负责统计仓库人员考勤；2、仓库货品出入库统计；3、作业单据的准确开制、确认、交接及打印；</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2009.04-2016.10</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广东元海集团有限公司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电商运营</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2000/06-2017/04</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技术风险的伦理评估与社会治理研究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每笔交易，确认采购单价、吨数、品名及仓库等信息；2.制作交易单、采购合同及销售合同；3.确认付款金额，制作付款申请单；4.根据每笔合同的货款交付日期和金额，跟进客户货款的支付，必要时进行催收；5.客户货款到账后，通知财务付款，并确认账款，下发提单给客户，完成付款后，到供应商公司取提单；6.月底向财务部提供新增客户的开票资料，确认收件地址后讲发票邮寄给客户；7.月初将上月所签订的合同原件分发给各公司，经确认盖章后收回交由合同管理员保存；8.根据每日所发生的实际交易，进行业务台账登记</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1993年12月-2018年08月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新媒体视阈下中国特色社会主义意识形态话语权建构研究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助人力资源部经理建立和完善公司的员工关系管理体系，各项人事管理制度的执行与更新；2、负责人力资源相关文件资料和数据的管理和更新；3、办理员工入职、离职、调任、升职等手续；4、管理人事档案，组织审核档案，清理与销毁工作；5、组织受理员工投诉和公司内部劳资纠纷，完善内部沟通渠道；协同人力资源部经理和法律顾问处理劳动争议；6、负责全面推动公司文化系统的建设工作，策划各类公司文化活动，丰富员工生活，提升员工满意度和敬业度，建立员工与公司之前的和谐关系。7、协助招聘、薪酬、社保公积金等工作的开展；8、负责部门日常采购、发放、登记管理，办公室设备管理；9、完成上级安排的其他任务。</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1994/10-2017/03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技术与工程中的模型研究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日常行政工作管理及执行；2、负责公司固定资产和办公用品的采购、发放、调配、清点、报修和报废管理，保证各部门有序运作，同时开源节流；；3、负责公司日常接待来访工作；4、订阅年度报刊杂志，收发日常报刊杂志及交换邮件；5、公司环境的管理，制定办公区环境卫生标准，环境卫生的监督和管理；6、公司食堂日常管理工作；7、公司车辆日常管理工作；8、负责公司公章、行文、档案管理工作9、积极完成领导交办的其他临时性工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