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戚翰利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15803004144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1969.03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户口:广东省潮州市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2009.10-2013.10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1991/06-2017/07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艺康投资有限公司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会计（双休+五险一金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全面负责门店人事行政、商户管理及对内环境管理等方面后台支持服务工作，确保门店的正常运转；2、全面负责门店人员的招聘、培训、员工关系、人才梯队建设；3、全面负责管控门店人事行政事务、公共关系等方面及行政费用、用人管理费用；4、全面负责门店各类资产的实物管理，包括入库记账、登记造册、维修、盘点等方面的管理工作；5、统筹负责门店招商面积的补充或调整性招商，完成收益指标，跟进合作商户日常营运管理；6、负责各单位关系建设，为门店正常经营创建良好的外部环境；7、负责门店内部文化活动氛围的营造与对接协调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1997.06-2016.09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上海喜盈门集团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美线操作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1996年06月-2013年11月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杭州锐翌基因技术有限公司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渠道招商专员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2003/05-2013/01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