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凤月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31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13508721241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广西省南宁市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北京建筑大学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中药学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s0vd4cr@126.com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高中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2007.08-2016.07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长沙湘野户外运动有限公司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电话邀约家长参加中心的公开课；2、通过标准化流程及话术向家长展示能动英语培训的特色（能力培训）;3、完成团队业绩目标，定期总结、分享工作经验与工作心得；4、借助企业平台学习行业前途沿理论知识、并将其运用到工作中。在能动英语，我们需要这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1996.08-2013.05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熊猫精酿酒业有限公司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项目名称：华南敌后抗日根据地经济建设研究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2003/05-2019/03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负责公司领导及商务接待用车；2、负责行政部指派的公司外勤事务的办理工作；3、负责车辆日常使用管理、日常养护、保险维修及费用控制；4、负责仓库日常货品的验收、入库、码放、保管、盘点、对账等工作；5、负责仓库日常货品的拣选、复核；定期核对数据并实地盘点；6、服从部门领导的调配，能够妥善完成领导交办的其他事务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项目名称：信息化条件下宣传思想工作研究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2004.01-2014.10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、按设计人员提供的“装配图”的产品名称、型号、规格、专用工具，标准件等，做好装配前准备；2、严格按照“装配工艺”，进行产品的装配，及时向设计人员反馈装配中的问题,对影响质量,进度的重大问题及时向车间负责人汇报，装配好后通知相关人员进行装配认可,确保装配质量；3、负责现场5S管理，确保装配场地整洁、有序，对工装进行定期清洁工作,保证安全生产；4、负责做好设备、工具的保养工作。职位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北京建筑大学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中药学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2004.03-2008.03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清华大学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物流管理与工程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2014.12-2018.12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北方工业大学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工业工程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2003.04-2007.04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