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戚文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13600905028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新疆省克拉玛依市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北京网络职业学院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口腔医学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hjoql1@3721.net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1991/07-2018/09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南京乐鹰商用厨房设备有限公司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1992/08-2015/11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上海中盈保险经纪有限公司江苏分公司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1992/12-2013/11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波克科技股份有限公司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1.对固废现场技术指导、监督和管理，满足安全/环境/质量管理要求。2.公司文件、记录管理符合公司体系要求。3.参与固废技术标准（含安全技术）的建立、完善与评审，并贯彻实施及验证（按需）。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1992年12月-2013年02月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2000年05月-2012年09月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2001/09-2011/08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1、能按照制版师打的纸版做衣；2、独立完成成衣的制作；3、制作过程中，记录每道程序及各项数据。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北京网络职业学院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口腔医学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2008.01-2012.01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外交学院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化工与制药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2003.10-2007.10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中国政法大学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2011.03-2015.03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