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时茗筠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15607256671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甘肃省张掖市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中国劳动关系学院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skom4c8@126.com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2004年04月-2012年03月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正大集团四川区招聘中心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1992年04月-2012年05月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常德市万利隆食品有限公司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2008年06月-2010年11月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浙江网新帮德信息服务有限公司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2006年03月-2014年10月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1999.08-2015.09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所辖区域销售目标达成和渠道拓展；2、区域品牌终端形象建设及维护；3、维护区域客户客情及运营商关系，确保产品上柜；4、管理区域销售团队并赋能培训；5、负责促销活动的落地执行；6、门店相关信息及竞品信息收集，分析与反馈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1993年10月-2012年12月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中国劳动关系学院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2000.07-2004.07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北京理工大学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林业工程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2013.06-2017.06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