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陈晓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2005/06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13603666885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h5jlba5k@aol.com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2003.06-2007.06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北京市海淀区职工大学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统计学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1995/01-2011/12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武汉市德发信息技术有限公司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儿童营养师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1、公司零售系统的系统支持，包括系统使用处理、需求收集、用户培训；2、公司拎手系统相关报表制作；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2000.02-2018.01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北京龙阳伟业科技股份有限公司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酒仓高级营业员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2003.09-2012.07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深圳市万通顺达科技股份有限公司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感控工程师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1996.09-2019.06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2003/03-2012/06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1993/08-2016/05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