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计咏菲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13806335229</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1924.05</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户口:陕西省榆林市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2013.10-2017.10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北京物资学院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政治学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2007.09-2011.09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首都体育学院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物流管理与工程</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2008.12-2012.12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北京市丰台区职工大学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护理学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1990年08月-2011年05月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四川华夏万卷文化传媒股份有限公司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商显业务经理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负责公司电商平台的日常维护和更新；处理文案对商品描述信息的整理（特别是主推款），上架布局；能独立运营公司在各线上平台的店铺，能根据公司的销售目标分阶段实行，很好的完成公司的业绩目标；</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2002.06-2013.10</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习近平总书记治国理政现代化战略思想比较研究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