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薛江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2000/12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中国国民党革命委员会会员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山东省日照市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15508620300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ura648@sina.com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2007.11-2011.11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中国社会科学院大学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政治学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1998/10-2017/03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四川省酒业集团有限责任公司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中药养护员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1．依托公司优质资源与意向客户进行电话沟通；2．挖掘客户需求，解答客户疑问，完成业务邀约；3．维护客户关系，为客户提供优质的业务服务；4．完成公司安排的其他事情。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1996.09-2015.01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和宇健康科技股份有限公司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英语外贸业务员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协助营销总监完成营销中心日常管理工作。2、拟定营销中心各项规章制度及流程，根据要求起草营销中心相关管理文件。3、协助营销总监对年度销售任务进行分解并跟进落实情况。4、根据公司战略计划，组建全国营销团队。5、根据需求组织营销培训。6、组织全国各地营销团队月度会议并落实各项会议决议，做好记录。7、做好销售业绩的日（周、月）报工作，跟进目标任务完成情况并反馈。8、做好客户管理工作，建立客户资料库，督促回款。9、协助人力资源部完成全国各地营销团队的绩效考核工作。10、营销总监交待的其他事务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2001.12-2013.05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自媒体时代主流意识形态话语面临的挑战及对策研究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数据的维护、更新及汇总，各类报表包括但不限于日报、周报、月报、佣金结算表、汇总表等的收集、汇总。2、协助部门经理做好各类文档工作，并建立项目档案，负责项目客户信息统计、更新。3、有较强的沟通能力，能独立协调与其他部门之间的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1998/06-2011/09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南疆学前双语教育的现状与教师专业发展研究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1、区域业务推广（政府认定糖尿病患者签约）；2、组建团队，可与社区、企业等相关单位建立合作；3、完成相关区域的活动策划及市场活动推广；4、有效完成KPI考核指标；5、配合公司的活动安排。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2006/11-2019/09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新媒体视阈下中国特色社会主义意识形态话语权建构研究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根据公司发展战略，制定相关新媒体运营策划和品牌营销策略；负责公司品牌以及产品推广工作；2、负责公司微博、微信公众号、头条、知乎等日常运营，提供优质、有高度的传播性内容；3、通过有效运营，增加有效粉丝数进行社群管理和维护；跟踪各平台推广效果，分析数据并及时作出调整和跟进；4、挖掘和分析用户使用习惯、情感及体验感受，及时掌握并跟进新闻热点，有效完成专题策划活动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2003.08-2019.05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《马克思主义政治经济学》（学时）网络课程设计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1、负责公司车辆的保险、验车、保养、维修等工作；2、进行车辆内外部的日常清洁；3、接送公司总经理，满足各类用车需求；4、协助行政人员从事一些外勤工作。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