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项妍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1993/03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中国共产主义青年团团员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浙江省衢州市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15508488470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majhp@google.com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2003.07-2007.07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首都师范大学科德学院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中西医结合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1996.11-2018.09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上海艾森迪实业有限公司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射频工程师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1992.03-2019.06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中国图书进出口上海公司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公司的宣传资料、平面设计、文本设计工作。2.负责公司广告宣传品平面设计及制作。3.与其他部门、策划人员充分沟通，分析市场策划方案及制作需求，充分理解意图，设计和创作平面方案。4.负责公司报刊的排版，版面设计。5.负责对广告、宣传彩页、宣传海报、pop等的设计与制作。6.负责对分公司形象、分公司宣传品的设计，监督分公司对设计标准的实施。7.负责公司大型市场活动、展会、公司内部活动宣传品的设计与安装、实施。8.负责广告计划的执行，与媒体沟通，定期发布公司广告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1999/08-2011/01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2001.01-2010.10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供应商开发，采购渠道优化，成本控制；满足生产销售研发需求方面的物料采购，合同谈判、签订及跟进；采购物料的验收以及不良品返厂及售后沟通处理；外协供应商管理，合作调研、沟通及谈判。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2005/06-2018/08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