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水思</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北京市崇文区职工大学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39岁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群众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香港省香港市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13300250548</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a8c2bijz@0355.net</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2005年04月-2016年12月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深华建设股份有限公司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渠道销售专员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财务制度建设1）制订公司财务管理、会计核算、会计监督、预算管理、审计监察等制度和工作程序；2）执行国家有关财务法律、法规、方针、政策和制度，保障公司合法经营。2.融资管理1）根据公司的经营要求，筹集企业运营所需资金，满足公司战略发展的资金需求，审批公司重大资金流向；2）依照公司对资金的需求，疏通融资渠道，维护与金融机构的良好关系，满足公司在经营运作中的资金需求。3.财务工作管理1）负责公司日常财务管理、会计核算、会计监督、成本管理、预算管理、审计监察等工作。4.财务监控1）负责对公司日常资金运作进行监控；2）按照公司规定的权限对公司各部门的各项预算、费用进化进行审批；3）监督财务计划的执行情况，控制各项费用的使用。5.财务分析与预测1）负责对公司经营状况进行阶段性的财务分析与财务预测，并提出财务改进方案；2）负责向公司提交财务分析及预测报告，为公司经营决策提出合理化建议、意见。6.负责部门内人员的管理、考核，监督其各项业务工作。7.负责公司IPO上市的各项规范及方案的实施。</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1997/07-2018/12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深圳市诚和通供应链管理有限公司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财务经理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1、负责企业质量体系建设及内部质量控制管理。2、负责内外部质量审核及内部产品质量标准建设，建立健全质量标准及相关检测要求制度，并组织落实；3、负责完成其他领导交办的工作。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2003年07月-2016年11月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广州纽缤乐营养科技股份有限公司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人力资源专员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1993/07-2013/11</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东莞市激浪洗涤科技有限公司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项目实施工程师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1，为学生提供专业的教学服务。2，积极维护家校关系。3、参加学科教研活动，提高教研水平，为公司提供高质量的教学资源。</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2013.04-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2017.04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北京市崇文区职工大学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化工与制药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2000.10-</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2004.10</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北京电子科技学院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纺织</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2009.07-2016.03</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依托革命文化厚植广州发展精神底蕴研究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线下产品运营、团队运营和企业运营工作；2.根据经理下发的任务，制定营销推广计划，负责区域产品推广，了解产品订单系统，完成各项基层运营管理工作指标；3.根据市场产品的推广状况调整经营策略，并向经理及时提出可行性建议；二、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1999/09-2016/12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依托革命文化厚植广州发展精神底蕴研究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1、维护现有客户关系，开发新客户，关注市场信息，拓展市场；2、配合业务经理要求，按照业务流程操作，按期完成销售指标；3、完成公司下达的任务指标及上级交办的其他事项。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2005年01月-2017年12月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“两个走在前列”的历史意蕴与实现路径研究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1、按要求能独立完成各项生物分析检测工作，并及时填好实验记录；2、配合领导完成方法开法及方法学验证工作；3、能定期进行仪器、设备的维护和保养，并做好所辖区域的安全与卫生管理工作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2000.09-2019.10</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广州新岭南文化中心重点研究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接待顾客的咨询，了解顾客的需求并达成销售；2、负责做好货品销售记录、盘点、账目核对等工作，按规定完成各项销售统计工作；3、完成商品的来货验收、上架陈列摆放、补货、退货、防损等日常营业工作；4、做好所负责区域的卫生清洁工作；5、完成上级领导交办的其他任务。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