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酆磊</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1963.12</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河南省三门峡市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13803130900</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qf2bp6o9@263.net</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2006.06</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2010.06</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北京语言大学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1991.03-2019.12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时代大数据</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运营专员/助理/实习生</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制定公司培训工作规范、流程和培训方案；2、调查培训需求，编制、调整、执行培训计划；3、开发培训课程，编制培训课件和建立企业培训资料库；4、讲授培训课程，解答疑难问题等；5、撰写培训报告，反馈、评估培训效果；6、跟进培训工作效果对培训工作进行改进。</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2000/08-2014/07</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健帆生物科技集团股份有限公司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前厅经理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2001.03-2018.05</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万宝盛华企业管理咨询有限公司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实习销售助理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主要负责为客户提供一手/二手房咨询、租赁买卖等相关业务的全程代理服务2.</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2003.01-2019.09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上海大丁自动化科技有限公司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地区经理(郑州)SC</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【南京贝壳新房】专注于南京一手房市场，业务覆盖全南京市以及都市圈一手房源，为开发商提供全案销售代理服务，为客户提供优质的购房体验，现已成为南京新房领先者。</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2006.05-2019.11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党的十八大以来广东全面从严治党实践研究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公司官网及微信的内容发布，维护、管理、话题制造，提高影响力和粉丝数；每周输出2篇及以上软文2、负责各类自媒体平台的图文采编与运营推广，不断为粉丝策划与提供优质、有高度传播性的内容，提升客户体验和黏度。3、负责公司市场宣传资料、PR新闻稿、口碑等稿件撰写；与媒体（传统媒体及新媒体）建立和保持良好沟通，安排日常发稿和对大事件、活动的深度报道。4、掌握论坛、贴吧、博客、知乎、问答等各社交平台文案编写技巧及日常维护，提升品牌形象，获取目标客户资源；5、负责公司项目手册、宣传资料、产品页面、活动页面的文案策划和设计；6、具备良好的行业理解力、挖掘行业内最新信息与内容，策划热点及营销文案，提升品牌影响力。7、紧跟新媒体发展趋势，广泛关注标杆性公众号，积极探索新媒体运营模式；8、良好的服从性和适应能力，绝佳的职业素养，认同公司企业文化；</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