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吕黛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1936.01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台湾省台南市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15108324111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13a79k@sina.com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中国农业大学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2003.10-2014.09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上海朗然文化传播有限公司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英语外贸业务员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按公司和项目采购需求，核对库存数据，分析市场价格范围，拟定采购方案；2、协助营销中心技术方案编写，配合做好与合作伙伴厂商的技术交流；3、根据公司采购招标流程，组织谈判和招标工作；4、采购合同签订；5、跟进样品进度和采购订单的交期进度，确保订单准交；6、负责采购货品品质异常协调与改善；7、负责建立公司供应商的评价和管理，建立合理专业化的采购政策与流程；8、负责中心合同和项目管理，建立项目档案资料；9、负责与供应商往来账户核对及日常事项沟通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2007/03-2013/06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研究消费者需求，拟定产品发展策略，做好产品规划，制定产品开发主题、产品款式，开发适合品牌定位及市场需求的产品；2、制定产品开发计划，统筹产品开发过程，全面监控产品开发质量、控制成本，确保产品按计划上市；3、对产品生命周期管理，跟进、评估产品发展状况，分析产品优劣，快速反馈与应变，确保产品力不断精进，满足消费者需求;4、与OEM供应商沟通，开展对新原料、新工艺的配方应用；5、对新品开发全程负责，包括产品的策划、文案、配方、包材选择、包装设计、产品定价等;6、贴近市场，完成对同类产品的市场动态和技术发展动向等情报的收集及分析;7、负责部门日常管理以及团队建设工作，并完成上级交办的其它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1996/05-2019/10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1、负责制定早教中心的日常餐饮菜单，适合婴幼儿成长；2、负责婴幼儿午餐烹饪；2、上班时间周一至周五，周末双休；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1995/05-2012/06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高校思想政治工作的薄弱环节及其对策研究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1、实时掌握安全事宜，服勤于大门前、大厅内、后门及各指定之警卫岗；2、根据主管或经理的要求和指示，负责各项目安全警卫，确保项目财产与顾客安全。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