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邵纨</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女</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1963.03</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13400874680</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内蒙古省锡林郭勒盟市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ayy5lzn@3721.net</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2003.01</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2007.01</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北京卫生职业学院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硕士研究生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心理学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2011.03</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2015.03</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北京电子科技学院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硕士研究生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工商管理</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：1995年05月-2012年03月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：上海艾森迪实业有限公司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样衣师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：1993/10-2010/10</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：上海宠零宠网络科技有限公司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机械工程师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1、出单及相关资料整理；2、客户日常维护；3、完成公司交办的其他事务性工作。</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1997/07-2017/09</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清末政府聘用日本军人问题与军事现代化研究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1、负责线下校区地推活动，异业合作，活动策划，执行，跟进。2、负责微信群人数增长以及校区活动。3、完成校区***团队招募、培训及淘汰。4、负责周边竞品调研，形成报告。</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