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茅峰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1939.07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15003815723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北京市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q9mbjy2r@0355.net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北京印刷学院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自然保护与环境生态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首都体育学院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纺织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：1993/12-2016/10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：麦田房产福州公司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销售行政助理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战略与产品计划，制订产品设计细节；2、负责游戏策划案主体架构系统与细节设计、数值设定、游戏界面设计等游戏内容设计与制作；3、负责游戏各项内容的验收、测试和调整；4、负责策划部门和程序、美术部门的协调沟通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：2009.07-2010.06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：深圳中电国际信息科技有限公司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项目管理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1992年06月-2011年09月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大数据时代我国社会公德治理的运行机制研究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1、公司零售系统的系统支持，包括系统使用处理、需求收集、用户培训；2、公司拎手系统相关报表制作；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