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喻瑾琼</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65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15607048975</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黑龙江省鹤岗市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北京联合大学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历史学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p8yn2u7@3721.net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1997/10-2013/07</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上海晓筑教育科技有限公司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1，处理广告文案策划/平面设计师和客户之间的售后沟通协调；2，无销售性质，属文案/平面助理文职类；3，在线与客服沟通、售后等客服工作。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1990.06-2012.04</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大连云动力科技有限公司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1999.02-2016.01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上海德伟思教育培训有限公司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项目名称：新中国成立以来政党协商历史进程与基本经验研究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1997.05-2012.10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1、负责后台系统的研发，及时解决项目涉及到的问题；2、参与系统需求分析与设计，负责完成业务代码编写。</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项目名称：深圳市光明新区企业劳资关系情况调查与对策研究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2003年03月-2014年10月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协助建立经营目标体系，实施经营目标分解及下达、跟踪落实2.协助建立经营计划管理体系，整合公司各板块经营计划，勾稽各类计划、跟踪督进计划的实施，对计划执行不力的进行预警3.协助建立经营管理会议机制，准备会议资料及素材，会议纪要记录及下发4.协助建立合约管理体系，建立合同台账，对合同执行进行监督审核5.协助建立内控体系，流程、表单的设计6.建立部门制度、流程</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项目名称：党的十八大以来广东全面从严治党实践研究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1990年10月-2011年12月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所辖区域市场产品的促销活动、推广等工作；（2）负责定期拜访客户、维护良好的客户关系、积极处理客户问题；（3）负责所区域市场信息收集、市场调查与分析，维护产品形象；（4）负责监控各区域促销活动的执行状况、阶段性销售目标达成情况；（5）负责做好新产品/产品的铺市推广工作和终端铺点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项目名称：信息技术革命与当代认识论研究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2005年05月-2013年04月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区域内终端直营考核方案的制定和实行；2、负责区域内终端直营服务服务体系搭建、管理、培训；3、负责区域内终端直营送装全流程梳理，相关业务跟进管理，保障终端直营用户服务体验；4、负责区域内终端直营门店满意度管理，对接门店上样、售前机处理、导购服务政策培训等工作；5、负责区域内高端产品（包括但不限于COLMO、比佛利）服务质量管控；6、协同并配合厨热品类服务主管工作推进。</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北京联合大学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历史学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2008.05-2012.05</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