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严裕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中国矿业大学（北京）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安徽省宣城市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15905561011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ijuq11p@hotmail.com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1990.11-2018.02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深圳市诚和通供应链管理有限公司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雅思教师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2004/12-2017/01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江苏联宏智慧能源股份有限公司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1、负责施工项目技术支持；2、负责编制工程项目的工艺、方案、初步设计、施工图设计等；3、负责施工现场的技术指导和运行、调试。4、必须有相应环保项目设计或施工经验。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2007/02-2012/02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湖南悦豪物业管理有限公司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应收应付会计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2002.05-2018.05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广州众上投资控股集团有限公司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门店代表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中国矿业大学（北京）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食品科学与工程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北京经济技术职业学院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植物生产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中国记协职工新闻学院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交通运输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1995/11-2017/04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2000年05月-2016年02月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负责系统集成项目工程的硬件部分施工或监管（施工组织、方案整理、进度计划、设备调试、验收培训等）；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