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臧建家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臧建家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15201512105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4lbnsjb4@yeah.net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吉林省延吉市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吉林省延吉市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1944.02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2011.10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北京体育职业学院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电子信息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2001.04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2005.04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北京科技经营管理学院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中国语言文学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2005.05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2009.05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国际关系学院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水产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1998/04-2015/12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山东学而优教育科技有限公司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课程产品经理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公司各系统的日常维护、操作培训指导工作；2.负责处理系统日常使用过程中发现的问题，以及对接软件服务商及时解决问题；3.保障系统稳定运行，及时反馈系统存在的问题并提出解决方案；4.对接业务部门提出的需求，组织软件公司进行需求实施；5.负责系统用户手册的维护，技术问题的记录，跟踪和反馈；6.具有一定的网络与设备管理能力，能快速处理日常简单的电脑、打印机故障。7.完成领导布置的其它相关工作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1990.06-2017.01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杭州新天地集团有限公司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市场调研及数据专员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能够独立完成公司产品的文案拍摄及后期剪辑包装；2.根据各平台视频情况,分析研究粉丝特点与属性,制定改进方向,定期分析视频数据,理解并深度研究用户需求,总结沉淀经验、复盘；3.挖掘和分析互联网用户的使用习惯、情感和体验感,通过运营分析研究,从数据层面提升用户活跃及用户观看时长;4.发现社会化媒体上的热点和优质内容,并组织内容小组迅速完成优质短视频内容的产出；5.与团队通力合作，推进项目完成。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1997/10-2018/07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上海精锐教育培训有限公司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高级财务专员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大区制定销售策略和各阶段销售计划，并带领团队达成公司销售目标；2、负责带领大区销售团队策划、组织各类推广及学术活动；3、负责区域销售团队的组建和培养；4、负责分析大区医院及销售渠道市场潜力、监控销售数据和费用，及时调整营销策略和计划，制订预防和纠正措施，确保完成营销目标和营销计划；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2000.07-2016.08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社会组织党建科学化推进广州城乡基层社会治理现代化研究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通过电话或者邮件与客户沟通案件要求和进展；2.及时把客户要求反馈给公司相应的外勤人员；3.及时完成并提交案件的英语报告；4.及时向上级经理汇报所负责客户的业务进展；5.必要时协助其它客户负责人共同完成紧急工作任务；6.公司交代的其它工作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