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窦生安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窦生安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13001500894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cuq9cn@aol.com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广东省河源市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广东省河源市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2004.07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自动化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2007年08月-2018年06月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首汽租赁有限责任公司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总经理助理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2000/06-2018/11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海南翔泰渔业股份有限公司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.NET开发工程师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2004/02-2019/09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福建华威集团有限公司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2005/09-2014/12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统战部——统战理论研究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2006年06月-2014年10月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1997/04-2010/08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2007年05月-2014年10月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量子信息技术的认识论研究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