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柏祥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13300423309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北京邮电大学世纪学院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生物医学工程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yj4uc1@ask.com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2002/01-2011/12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律动文化传播有限公司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2001年09月-2013年12月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中国南玻集团股份有限公司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1993/11-2012/10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南关区喜家德水饺大经路店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2007/01-2011/11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江苏柯菲平医药股份有限公司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1、按ISO要求完成品控室原材料、成品检测并做好各项记录；2、负责实验室的设备维护保养；3、品控室内部的6S工作；4、完成上司安排的其他工作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1998年06月-2018年08月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1.约客户，联系直接或间接或自寻到的目标房源业主，与业主约定看房时间；2.找渠道，与房产中介渠道宣传公司收房政策与中介费政策，实现合作共赢；3.签合同，业主同意的情况下当天完成签约合作。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生物医学工程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2005.04-2009.04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北京林业大学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护理学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2007.01-2011.01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社会学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2002.09-2006.09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