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俞楠若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1956.10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深圳市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15002782565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uf39o@live.com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北京师范大学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2001.09-2011.03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广州嘉权专利商标事务所有限公司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楼面经理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1997.07-2013.09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河南元丰科技网络股份有限公司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售后经理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2007/12-2017/02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武汉新视野风险管理科技有限公司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IT运维工程师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2001.09-2013.07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2000/02-2017/11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2008.01-2018.02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1991.06-2014.12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1、协助律师及律师助理从事业务辅助工作;2、与客户的事务性联系工作;3、案卷整理等日常工作；4、律师或事务所安排的其他工作等。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