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明颖可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贵州省安顺市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13804488694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dy82po5@163.net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2004.10-2018.02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上海富吉医疗器械有限公司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营销储备干部7500起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1.协助餐厅主管负责部门人员工作安排及监督；2.负责安排餐厅产品流程的监督及安排；3.完成领导交办的各项工作。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1992.06-2014.04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杭州智见科技有限公司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2003.11-2011.12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昆明北湖经贸有限责任公司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业务跟单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2003/02-2016/10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2002.08-2011.12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2008.09-2010.11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1、按工单要求，组织报价维修工作2、对事故车进行报价并跟进大型事故车进度3、收集并反馈技术信息4、做好班组5S工作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2009/08-2010/01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