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鲁荷 </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1957.05</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山西省长治市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13705184338</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9d81bx@gmail.com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2000.11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2004.11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北京市丰台区职工大学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2001.11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2005.11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北方工业大学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2004/01-2016/05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深圳市名昇贸易有限公司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视频剪辑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公司产品的相关UI设计工作2.和产品交互一起沟通想法构思设计，并能够灵活提供视觉解决方案3.跟踪设计效果及开发还原度，关注产品数据变化，根据数据调整优化设计方案4.能够快速响应处理紧急问题及设计难点，并高效的给出设计方案5.设计规范化方法论建设，确保体验及规范的一</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2009.03-2020.01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广州力赛计量检测有限公司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Java开发工程师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线下产品运营、团队运营和企业运营工作；2.根据经理下发的任务，制定营销推广计划，负责区域产品推广，了解产品订单系统，完成各项基层运营管理工作指标；3.根据市场产品的推广状况调整经营策略，并向经理及时提出可行性建议；二、</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2004.03-2016.04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新产品结构的创新与结构设计工作,保证新产品结构的可靠性、新颖性、可生产性；2、负责新产品开发中各个阶段的评审、试模、试产及量产的组织、协调和跟进工作；3、负责编写新产品开发过程中各种相关技术文件。</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1996.03-2014.12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广州新岭南文化中心重点研究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