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姚芸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13008032099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2001.10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户口:黑龙江省大庆市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2010.08-2014.08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中国劳动关系学院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基础医学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1990/07-2014/11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深圳希尔智慧科技集团有限公司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高薪销售/季度晋升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1993/04-2018/10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武汉生之源生物科技股份有限公司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网站负责人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2008.04-2010.12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廊坊立邦涂料有限公司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医药代表-大同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1、负责采购订单的跟进与产品验收工作；2、维护供应商的关系，并开发新供应商；3、根据供应商和订单相关产品信息，与财务沟通进行付款；4、及时对售后问题进行共同反馈；5、完成主管安排的其他工作。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2009年06月-2012年11月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负责私有云相关产品的设计、开发和测试工作；与业务部门紧密配合，保障良好的用户体验；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2009.10-2011.04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1997/04-2015/03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1993/09-2019/03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马克思哲学与量子力学的主体性问题研究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