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余璐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15702564043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甘肃省酒泉市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首都医科大学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物流管理与工程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v49b9380@163.net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1996.11-2011.03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北京市立方律师事务所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1997年12月-2017年08月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广州市温碧泉电子商务有限公司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2007.03-2014.02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广州市天麟教育培训中心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建立、健全项目供水、供电等分管设备操作、维护规程和管理制度；2、协助生产经理制定机电安装计划；3、负责对机电施工进行总协调；4、负责各项安装专项施工方案的技术答疑；5、组织或参与设计交底、设计审核、变更审核等日常管理工作；6、负责监督、参与验收机电安装；7、监督和指导相关人员正确使用和操作电气设备；8、负责对新员工进行机械及电气知识的教育培训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项目名称：第一次国共合作时期的“党治”实践与华南区域社会研究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1997年01月-2011年12月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项目名称：南疆学前双语教育的现状与教师专业发展研究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1994年08月-2018年05月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分析行业产品动态，市场动态，进行归纳整理；2、对负责的产品线，进行产品规划设计，提前功能布局。同时根据产品的功能性及业务的成熟度，制定相关的迭代计划；3、对定义产品线功能的业务场景、功能描述及业务规则。输出相应的产品概设文档，推动产品设计人员进行功能的落地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首都医科大学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物流管理与工程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2003.06-2007.06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华北电力大学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航空航天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2002.10-2006.10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北京电子科技职业学院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公共管理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2002.08-2006.08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