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米强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1960.10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陕西省渭南市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13202210087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ypa4ax40@yahoo.com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2001.06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2005.06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中国戏曲学院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2013.09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2017.09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北京市总工会职工大学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2007.05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2011.05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北京体育职业学院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2005.08-2011.11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深圳市乐有家控股集团有限公司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行政专员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1、负责15-60秒短视频的脚本撰写、内容策划、视频拍摄、后期剪辑等工作；2、负责各个产品需求的特性及功能与短视频平台（如抖音、快手、西瓜、微视）用户做结合，高效产出视频进行宣传策划。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2007.01-2015.05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信息技术革命与当代认识论研究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各产品线服务的稳定、高效运行；2、各产品线服务架构评审，并能提出设计，规划建议；3、维护各项服务，持续查找并修复问题，做保障业务稳定运行的幕后英雄；4、及时响应各种故障报警，能够快速解决问题恢复业务；5、积累系系统及应用运维的***实践，制定运维规范和策略，并实现文档化；6、通过技术手段进行成本控制及优化，通过工具化及流程提升服务管理效率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