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谈英</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北京物资学院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大专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56岁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九三学社社员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甘肃省白银市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13003952097</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g3aofyoa@ask.com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2004.10-2014.01</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广州艾慈荟再生医学科技有限公司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硬件工程师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1.为咨询学员提供课程咨询、备考方案规划和签约报名等服务；2.每日完成客户的约访、课程咨询及跟踪任务；3.协助经理完成销售业绩指标；4.配合教服务人员完成对学员的全程服务。</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2003.07-2018.07</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南京杏璞庄园生物科技有限公司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产品规划师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项目前期市场调研、论证，撰写项目的市场定位和可行性研究报告。2、负责项目的定位工作，负责运营和维护可参考项目的成功案例库，为项目定位提供系统化的解决方案。3、负责客户研究和产品研究工作，从市场角度把握需求和产品发展趋势。4、负责就公司重难点项目提出</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2005/12-2018/04</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盈德气体有限公司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商显业务经理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财务制度建设1）制订公司财务管理、会计核算、会计监督、预算管理、审计监察等制度和工作程序；2）执行国家有关财务法律、法规、方针、政策和制度，保障公司合法经营。2.融资管理1）根据公司的经营要求，筹集企业运营所需资金，满足公司战略发展的资金需求，审批公司重大资金流向；2）依照公司对资金的需求，疏通融资渠道，维护与金融机构的良好关系，满足公司在经营运作中的资金需求。3.财务工作管理1）负责公司日常财务管理、会计核算、会计监督、成本管理、预算管理、审计监察等工作。4.财务监控1）负责对公司日常资金运作进行监控；2）按照公司规定的权限对公司各部门的各项预算、费用进化进行审批；3）监督财务计划的执行情况，控制各项费用的使用。5.财务分析与预测1）负责对公司经营状况进行阶段性的财务分析与财务预测，并提出财务改进方案；2）负责向公司提交财务分析及预测报告，为公司经营决策提出合理化建议、意见。6.负责部门内人员的管理、考核，监督其各项业务工作。7.负责公司IPO上市的各项规范及方案的实施。</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2013.09-</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2017.09</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北京物资学院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电气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2014.12-</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2018.12</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公安部管理干部学院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机械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2003.11-</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2007.11</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北京理工大学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艺术学理论</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1991.07-2017.10</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技术风险的伦理评估与社会治理研究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客户每月税控盘反写、以及税控盘保管和出入库登记；2、根据主管安排协助客户解决税盘问题；3、协助客户处理客户企业发票等相关事宜并根据客户情况统计开票记录，保管好相关物品，并进行相关登记4、协助会计做好每月单据等收集、装订及整理工作5、协助财务申报税、代理记账；6、协助办理公司变更、注销、设立7、其他财务类协助工作8、只招聘***。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1992年09月-2017年08月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信息化条件下宣传思想工作研究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1、负责开发、挖掘潜在客户，维护发展现有客户；2、根据公司计划完成指定的销售目标；3、建立、完善客户销售档案；4、按要求完成销售计划及销售进度表.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2003年05月-2018年02月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我国最低工资制度的落实状况及其影响研究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协助销售对驻场招聘项目可行性进行评估，并给予专业建议；2.基于公司业务策略，向公司战略客户招聘综合服务方案；3.完成年度业绩任务，优化项目执行流程，保证项目执行效果、客户满意度、招聘效果、风险控制等；4.管理招聘执行团队，对招聘专员进行人力资源相关项目管理培训，合理分配渠道资源，提高招聘效率；5.对于驻场员工的员工关系、入职跟踪、绩效考核评估等要全权负责与管控，实时跟进确保项目的正常进行；6.对成功经验、客户反馈建议等进行汇总分析，形成文字材料反馈给业务部门及领导。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1990/08-2010/12</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岭南文化融入大学生思想政治教育研究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1、开发新客户，维护老客户；2、负责内窥镜产品在目标客户的推广和销售工作，并完成销售任务；3、定期拜访客户，收集及反馈产品、市场、采购信息。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