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吕可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13704853594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江阴市暨阳自考辅导中心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机电质检经理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2000年10月-2017年02月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苏州特鲁利电子材料有限公司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1993.05-2011.05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，通过为客户提供培训、定期和紧急的服务以及销售示范，实现现有餐饮客户的销售增长；2，了解客户的食品安全需求，作为高端清洁卫生流程及计划方面的专家，为客户定制解决方案；3，安装、维修和维护客户的机器设备，利用该项服务加强与客户的关系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昆明北湖经贸有限责任公司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运营总监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2009年04月-2017年12月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1995.02-2013.11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2007/07-2016/06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2009.04-2010.03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北京吉利学院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北京警察学院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艺术学理论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北京石油化工学院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