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唐倩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1981.09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江西省萍乡市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13308764425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vw4scf@yahoo.com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北京市海淀区职工大学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中国记协职工新闻学院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北京电子科技学院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1997.02-2018.07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廊坊立邦涂料有限公司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机电工程师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1999.08-2015.09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江苏联著实业股份有限公司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普工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1994/10-2019/12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上海精锐教育培训有限公司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出纳员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2002/06-2012/12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高校思想政治工作的薄弱环节及其对策研究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2004.07-2011.07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1、负责营销数据统计分析，制定营销数据的报表；2、负责销售业绩核算、考勤核算、绩效分数核算；3、负责营销档案收集、检查和归档管理；4、负责领导交代的其他后勤事务；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2001.04-2019.08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1、接受并负责完成自己区域（东南亚或中东）的销售目标；2、完成负责区域客户联络，沟通、拜访、签约、交货、收款；3、完成负责区域的客户信息整理汇总，建立客户资料库；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2006/12-2013/03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