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闵晶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15501372379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vbiglk7s@google.com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1992.12-2014.01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云南雷允上理想药业有限公司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1、保证生产设备的正常运转，做好设备预防性管理、保养工作。2、负责公司电及设备维修、保养工作。3、负责公司用电管理工作。4、薪资6000-8000元/月，条件优秀者，***。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1993年06月-2014年05月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国美零售控股有限公司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保险顾问培训师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2008/02-2013/03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广州嘉权专利商标事务所有限公司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Golang开发工程师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2009年08月-2016年06月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四川省酒业集团有限责任公司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工程部经理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国家检察官学院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口腔医学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外交学院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能源动力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北京经济技术职业学院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1994年01月-2012年10月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1、教育行业索尼产品推广及演示。2、日常渠道商（上海地区）开发、维护、管理（合同签订、建立客户资料、沟通）。3、与相关部门保持良好沟通，达成目标业绩。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1993.01-2017.05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2007年04月-2016年02月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