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康琳霭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1959.09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西藏省日喀则市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广西省玉林市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13302018388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chgovmj@ask.com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2008.09-2012.09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1992/09-2015/09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嘉展国际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采购经理助理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2004/01-2014/08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河南如冠建设工程有限公司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1996/06-2018/03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深圳市金飞旗物流有限公司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咨询客服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1998.12-2013.05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广州众上投资控股集团有限公司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薪酬绩效高级专员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1993.10-2010.12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1992.12-2015.03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主要负责为客户提供一手/二手房咨询、租赁买卖等相关业务的全程代理服务2.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