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郎成</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男</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46</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13206922046</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海南省海口市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北京科技职业学院</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土木</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94891@263.net</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博士研究生</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1993.03-2014.06</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深圳市同致行物业顾问有限公司西安分公司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跟踪研究IARC、REACH等权威机构化学品毒性研究进展和法规更新，编写专项报告；2.化学品毒性分析调研，整理，文档编辑，编写科普文章，对外进行专业信息发布；3.研究世界各国装饰装修材料有毒有害物质检测方法，比较不同标准的差异，指导实验室对比实验，编写对比报告；4.对比分析装饰装修材料产品配方，生产工艺，以环保性能标准对不同配方和生产工艺进行评价，编制技术指南；5.审核供应商提供的化学品技术资料并将其版本转为为公司内部受控版本。</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2008/03-2018/07</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雅居乐地产-深圳公司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1.负责园区建设的设计管理、审图与优化；2.负责项目过程协调管理与流程执行检查；3.组织项目实施与项目竣工验收参与工程签证、项目验收。</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2009.01-2017.03</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腾跃建工集团有限公司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熟悉公司各项业务及VIP卡种，积极接待参观的顾客，提供相关会员卡咨询服务工作；2、做好会员资料的管理及跟踪服务工作，及时解答会员提出的问题并提供相应的服务；3、做好俱乐部潜在客户的发掘、销售渠道的开发及维护工作等。</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项目名称：传统家国情怀的价值内涵及其近代转型研究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2006/03-2014/02</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现金支票的收入保管、签发支付工作；2、公司发票的开具、登记建档；3、严格按照公司的财务制度报销结算公司各项费用；4、及时与银行定期对账；5、根据公司领导的需要，编制各种资金流动报表；6、配合会计人员做好每月的报税和工资的发放工作；7、管理银行账户、转账支票与发票；8、完成其他由上级主管指派及自行发展的工作。</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北京科技职业学院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土木</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2001.05-2005.05</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