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湛萍晓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13205783474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湖南华钰环保实业发展有限公司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2006/08-2012/11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上海纵扬信息科技有限公司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速卖通运营助理/专员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2002.09-2011.02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宜昌交通旅游产业发展集团有限公司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游戏GS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1990年09月-2019年12月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1、负责按照标书要求，制作、初步核实、整理标书内容；2、负责制作服务建议书、合同报价单，跟进合同执行进度；3、负责合同首付款催收；4、完成领导安排的其它工作。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上海精锐教育培训有限公司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精算模型经理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2003.06-2015.02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1997/07-2013/02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1、负责企业质量体系建设及内部质量控制管理。2、负责内外部质量审核及内部产品质量标准建设，建立健全质量标准及相关检测要求制度，并组织落实；3、负责完成其他领导交办的工作。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“一国两制”视阈下港澳社会心态比较研究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2009年11月-2012年07月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售后服务团队的人员管理，工作分配。2.团队主要主要从事光伏电池行业设备移机，技术改造，售后安装调试等3.负责售前技术支持，协助业务进行工程现场勘查，项目评估成本报价核算等4.负责光伏行业核心备品备件，先进改造等产品的组织工作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北京劳动保障职业学院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交通运输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